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single" w:sz="18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C63AA" w14:paraId="0C9304B4" w14:textId="77777777" w:rsidTr="00123F98">
        <w:trPr>
          <w:trHeight w:val="1168"/>
        </w:trPr>
        <w:tc>
          <w:tcPr>
            <w:tcW w:w="4508" w:type="dxa"/>
            <w:vAlign w:val="center"/>
          </w:tcPr>
          <w:p w14:paraId="10DC0F0F" w14:textId="30036CE0" w:rsidR="00CC63AA" w:rsidRDefault="00A10429" w:rsidP="00123F98">
            <w:pPr>
              <w:wordWrap/>
              <w:rPr>
                <w:rFonts w:ascii="HY견고딕" w:eastAsia="HY견고딕"/>
                <w:sz w:val="22"/>
              </w:rPr>
            </w:pPr>
            <w:r>
              <w:rPr>
                <w:rFonts w:ascii="HY견고딕" w:eastAsia="HY견고딕"/>
                <w:noProof/>
              </w:rPr>
              <w:drawing>
                <wp:inline distT="0" distB="0" distL="0" distR="0" wp14:anchorId="0E74A27F" wp14:editId="2B8AA2CD">
                  <wp:extent cx="2695116" cy="581025"/>
                  <wp:effectExtent l="0" t="0" r="0" b="0"/>
                  <wp:docPr id="1493059039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059039" name="그림 1493059039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86" t="35083" r="11719" b="419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761" cy="5826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653A671F" w14:textId="1946C73A" w:rsidR="00CC63AA" w:rsidRDefault="00CC63AA" w:rsidP="00123F98">
            <w:pPr>
              <w:wordWrap/>
              <w:jc w:val="right"/>
              <w:rPr>
                <w:rFonts w:ascii="HY견고딕" w:eastAsia="HY견고딕"/>
                <w:sz w:val="22"/>
              </w:rPr>
            </w:pPr>
          </w:p>
        </w:tc>
      </w:tr>
    </w:tbl>
    <w:p w14:paraId="246D89A8" w14:textId="77777777" w:rsidR="00CC63AA" w:rsidRDefault="00CC63AA" w:rsidP="00946AF2">
      <w:pPr>
        <w:rPr>
          <w:b/>
          <w:bCs/>
        </w:rPr>
      </w:pPr>
    </w:p>
    <w:p w14:paraId="708A8849" w14:textId="77777777" w:rsidR="000A0F95" w:rsidRPr="000A0F95" w:rsidRDefault="000A0F95" w:rsidP="000A0F95">
      <w:pPr>
        <w:rPr>
          <w:b/>
          <w:bCs/>
        </w:rPr>
      </w:pPr>
      <w:r w:rsidRPr="000A0F95">
        <w:rPr>
          <w:b/>
          <w:bCs/>
        </w:rPr>
        <w:t xml:space="preserve">SK </w:t>
      </w:r>
      <w:proofErr w:type="spellStart"/>
      <w:r w:rsidRPr="000A0F95">
        <w:rPr>
          <w:b/>
          <w:bCs/>
        </w:rPr>
        <w:t>hynix</w:t>
      </w:r>
      <w:proofErr w:type="spellEnd"/>
      <w:r w:rsidRPr="000A0F95">
        <w:rPr>
          <w:b/>
          <w:bCs/>
        </w:rPr>
        <w:t xml:space="preserve"> unveils ‘</w:t>
      </w:r>
      <w:proofErr w:type="spellStart"/>
      <w:r w:rsidRPr="000A0F95">
        <w:rPr>
          <w:b/>
          <w:bCs/>
        </w:rPr>
        <w:t>iHBM</w:t>
      </w:r>
      <w:proofErr w:type="spellEnd"/>
      <w:r w:rsidRPr="000A0F95">
        <w:rPr>
          <w:b/>
          <w:bCs/>
        </w:rPr>
        <w:t>’ thermal solution to boost AI performance</w:t>
      </w:r>
    </w:p>
    <w:p w14:paraId="09ED453A" w14:textId="2F1DF5FA" w:rsidR="00CC63AA" w:rsidRDefault="000A0F95" w:rsidP="00946AF2">
      <w:pPr>
        <w:rPr>
          <w:rFonts w:hint="eastAsia"/>
          <w:b/>
          <w:bCs/>
        </w:rPr>
      </w:pPr>
      <w:r>
        <w:rPr>
          <w:b/>
          <w:bCs/>
        </w:rPr>
        <w:t>M</w:t>
      </w:r>
      <w:r>
        <w:rPr>
          <w:rFonts w:hint="eastAsia"/>
          <w:b/>
          <w:bCs/>
        </w:rPr>
        <w:t>ay 26, 2026</w:t>
      </w:r>
    </w:p>
    <w:p w14:paraId="72745227" w14:textId="77777777" w:rsidR="000A0F95" w:rsidRPr="000A0F95" w:rsidRDefault="000A0F95" w:rsidP="000A0F95">
      <w:r w:rsidRPr="000A0F95">
        <w:rPr>
          <w:b/>
          <w:bCs/>
        </w:rPr>
        <w:t>Seoul, May 26, 2026</w:t>
      </w:r>
      <w:r w:rsidRPr="000A0F95">
        <w:t xml:space="preserve"> – SK </w:t>
      </w:r>
      <w:proofErr w:type="spellStart"/>
      <w:r w:rsidRPr="000A0F95">
        <w:t>hynix</w:t>
      </w:r>
      <w:proofErr w:type="spellEnd"/>
      <w:r w:rsidRPr="000A0F95">
        <w:t xml:space="preserve"> Inc. (or “the company”, www.skhynix.com) announced today the launch of the </w:t>
      </w:r>
      <w:proofErr w:type="spellStart"/>
      <w:r w:rsidRPr="000A0F95">
        <w:t>iHBM</w:t>
      </w:r>
      <w:proofErr w:type="spellEnd"/>
      <w:r w:rsidRPr="000A0F95">
        <w:t xml:space="preserve"> solution that embeds integrated cooling </w:t>
      </w:r>
      <w:proofErr w:type="gramStart"/>
      <w:r w:rsidRPr="000A0F95">
        <w:t>elements(</w:t>
      </w:r>
      <w:proofErr w:type="gramEnd"/>
      <w:r w:rsidRPr="000A0F95">
        <w:t>ICEs)</w:t>
      </w:r>
      <w:r w:rsidRPr="000A0F95">
        <w:rPr>
          <w:color w:val="EE0000"/>
        </w:rPr>
        <w:t>*</w:t>
      </w:r>
      <w:r w:rsidRPr="000A0F95">
        <w:t xml:space="preserve"> within the high-bandwidth </w:t>
      </w:r>
      <w:proofErr w:type="gramStart"/>
      <w:r w:rsidRPr="000A0F95">
        <w:t>memory(</w:t>
      </w:r>
      <w:proofErr w:type="gramEnd"/>
      <w:r w:rsidRPr="000A0F95">
        <w:t>HBM) package for next-generation HBM products.</w:t>
      </w:r>
    </w:p>
    <w:p w14:paraId="73809448" w14:textId="77777777" w:rsidR="000A0F95" w:rsidRPr="000A0F95" w:rsidRDefault="000A0F95" w:rsidP="000A0F95">
      <w:pPr>
        <w:rPr>
          <w:color w:val="808080" w:themeColor="background1" w:themeShade="80"/>
          <w:sz w:val="20"/>
          <w:szCs w:val="22"/>
        </w:rPr>
      </w:pPr>
      <w:r w:rsidRPr="000A0F95">
        <w:rPr>
          <w:color w:val="EE0000"/>
          <w:sz w:val="20"/>
          <w:szCs w:val="22"/>
        </w:rPr>
        <w:t>*</w:t>
      </w:r>
      <w:r w:rsidRPr="000A0F95">
        <w:rPr>
          <w:color w:val="808080" w:themeColor="background1" w:themeShade="80"/>
          <w:sz w:val="20"/>
          <w:szCs w:val="22"/>
        </w:rPr>
        <w:t> </w:t>
      </w:r>
      <w:proofErr w:type="gramStart"/>
      <w:r w:rsidRPr="000A0F95">
        <w:rPr>
          <w:color w:val="808080" w:themeColor="background1" w:themeShade="80"/>
          <w:sz w:val="20"/>
          <w:szCs w:val="22"/>
        </w:rPr>
        <w:t>ICE(</w:t>
      </w:r>
      <w:proofErr w:type="gramEnd"/>
      <w:r w:rsidRPr="000A0F95">
        <w:rPr>
          <w:color w:val="808080" w:themeColor="background1" w:themeShade="80"/>
          <w:sz w:val="20"/>
          <w:szCs w:val="22"/>
        </w:rPr>
        <w:t>Integrated Cooling Elements): A cooling element made of electrically non-conductive, thermally conductive silicon-based material, designed to dissipate heat from the HBM package by providing an additional thermal path.</w:t>
      </w:r>
    </w:p>
    <w:p w14:paraId="26C58093" w14:textId="77777777" w:rsidR="000A0F95" w:rsidRPr="000A0F95" w:rsidRDefault="000A0F95" w:rsidP="000A0F95">
      <w:r w:rsidRPr="000A0F95">
        <w:t>Heat management has become a critical challenge as HBM technology advances with higher stacking and faster speeds to cater to the surging demand for AI data processing.</w:t>
      </w:r>
    </w:p>
    <w:p w14:paraId="01E248F8" w14:textId="77777777" w:rsidR="000A0F95" w:rsidRPr="000A0F95" w:rsidRDefault="000A0F95" w:rsidP="000A0F95">
      <w:r w:rsidRPr="000A0F95">
        <w:t>The efficient management of power density</w:t>
      </w:r>
      <w:r w:rsidRPr="000A0F95">
        <w:rPr>
          <w:color w:val="EE0000"/>
        </w:rPr>
        <w:t>*</w:t>
      </w:r>
      <w:r w:rsidRPr="000A0F95">
        <w:t xml:space="preserve"> in the Die-to-Die Physical Layer (D2D </w:t>
      </w:r>
      <w:proofErr w:type="gramStart"/>
      <w:r w:rsidRPr="000A0F95">
        <w:t>PHY)</w:t>
      </w:r>
      <w:r w:rsidRPr="000A0F95">
        <w:rPr>
          <w:color w:val="EE0000"/>
        </w:rPr>
        <w:t>*</w:t>
      </w:r>
      <w:proofErr w:type="gramEnd"/>
      <w:r w:rsidRPr="000A0F95">
        <w:t>—the interface connecting HBM and GPU—has emerged as a key factor defining the competitiveness of next-generation HBM.</w:t>
      </w:r>
    </w:p>
    <w:p w14:paraId="61160318" w14:textId="77777777" w:rsidR="000A0F95" w:rsidRPr="000A0F95" w:rsidRDefault="000A0F95" w:rsidP="000A0F95">
      <w:pPr>
        <w:rPr>
          <w:color w:val="808080" w:themeColor="background1" w:themeShade="80"/>
          <w:sz w:val="20"/>
          <w:szCs w:val="22"/>
        </w:rPr>
      </w:pPr>
      <w:r w:rsidRPr="000A0F95">
        <w:rPr>
          <w:color w:val="EE0000"/>
          <w:sz w:val="20"/>
          <w:szCs w:val="22"/>
        </w:rPr>
        <w:t>*</w:t>
      </w:r>
      <w:r w:rsidRPr="000A0F95">
        <w:rPr>
          <w:color w:val="808080" w:themeColor="background1" w:themeShade="80"/>
          <w:sz w:val="20"/>
          <w:szCs w:val="22"/>
        </w:rPr>
        <w:t> Power Density: the amount of heat emitting per space serving as a key defining factor for the cooling efficiency and product lifespan.</w:t>
      </w:r>
      <w:r w:rsidRPr="000A0F95">
        <w:rPr>
          <w:color w:val="808080" w:themeColor="background1" w:themeShade="80"/>
          <w:sz w:val="20"/>
          <w:szCs w:val="22"/>
        </w:rPr>
        <w:br/>
      </w:r>
      <w:r w:rsidRPr="000A0F95">
        <w:rPr>
          <w:color w:val="EE0000"/>
          <w:sz w:val="20"/>
          <w:szCs w:val="22"/>
        </w:rPr>
        <w:t>*</w:t>
      </w:r>
      <w:r w:rsidRPr="000A0F95">
        <w:rPr>
          <w:color w:val="808080" w:themeColor="background1" w:themeShade="80"/>
          <w:sz w:val="20"/>
          <w:szCs w:val="22"/>
        </w:rPr>
        <w:t xml:space="preserve"> D2D </w:t>
      </w:r>
      <w:proofErr w:type="gramStart"/>
      <w:r w:rsidRPr="000A0F95">
        <w:rPr>
          <w:color w:val="808080" w:themeColor="background1" w:themeShade="80"/>
          <w:sz w:val="20"/>
          <w:szCs w:val="22"/>
        </w:rPr>
        <w:t>PHY(</w:t>
      </w:r>
      <w:proofErr w:type="gramEnd"/>
      <w:r w:rsidRPr="000A0F95">
        <w:rPr>
          <w:color w:val="808080" w:themeColor="background1" w:themeShade="80"/>
          <w:sz w:val="20"/>
          <w:szCs w:val="22"/>
        </w:rPr>
        <w:t>Die-to-Die Physical Layer): a hardware interface that enables fast data transfer between the HBM base die and AI accelerator.</w:t>
      </w:r>
    </w:p>
    <w:p w14:paraId="2481A7FC" w14:textId="77777777" w:rsidR="000A0F95" w:rsidRPr="000A0F95" w:rsidRDefault="000A0F95" w:rsidP="000A0F95">
      <w:r w:rsidRPr="000A0F95">
        <w:t xml:space="preserve">With the </w:t>
      </w:r>
      <w:proofErr w:type="spellStart"/>
      <w:r w:rsidRPr="000A0F95">
        <w:t>iHBM</w:t>
      </w:r>
      <w:proofErr w:type="spellEnd"/>
      <w:r w:rsidRPr="000A0F95">
        <w:t xml:space="preserve"> solution, the company has taken a structural approach to addressing the heat management issue. Existing HBM products rely on an indirect cooling method that draws heat away through the core die. In contrast, the </w:t>
      </w:r>
      <w:proofErr w:type="spellStart"/>
      <w:r w:rsidRPr="000A0F95">
        <w:t>iHBM</w:t>
      </w:r>
      <w:proofErr w:type="spellEnd"/>
      <w:r w:rsidRPr="000A0F95">
        <w:t xml:space="preserve"> solution places ICEs directly in the D2D PHY area where heat concentration is the highest, creating an additional ‘heat dissipation </w:t>
      </w:r>
      <w:proofErr w:type="gramStart"/>
      <w:r w:rsidRPr="000A0F95">
        <w:t>path’.</w:t>
      </w:r>
      <w:proofErr w:type="gramEnd"/>
      <w:r w:rsidRPr="000A0F95">
        <w:t xml:space="preserve"> This latest heat management solution helps reduce thermal resistance by 30% and enables chips to operate stably even in high-temperature and high-pressure conditions.</w:t>
      </w:r>
    </w:p>
    <w:p w14:paraId="1D16271F" w14:textId="77777777" w:rsidR="000A0F95" w:rsidRPr="000A0F95" w:rsidRDefault="000A0F95" w:rsidP="000A0F95">
      <w:r w:rsidRPr="000A0F95">
        <w:t xml:space="preserve">The company’s mass-production capabilities also </w:t>
      </w:r>
      <w:proofErr w:type="gramStart"/>
      <w:r w:rsidRPr="000A0F95">
        <w:t>serves</w:t>
      </w:r>
      <w:proofErr w:type="gramEnd"/>
      <w:r w:rsidRPr="000A0F95">
        <w:t xml:space="preserve"> as a key advantage. SK </w:t>
      </w:r>
      <w:proofErr w:type="spellStart"/>
      <w:r w:rsidRPr="000A0F95">
        <w:t>hynix’s</w:t>
      </w:r>
      <w:proofErr w:type="spellEnd"/>
      <w:r w:rsidRPr="000A0F95">
        <w:t xml:space="preserve"> Wafer Level </w:t>
      </w:r>
      <w:proofErr w:type="gramStart"/>
      <w:r w:rsidRPr="000A0F95">
        <w:t>Packaging(</w:t>
      </w:r>
      <w:proofErr w:type="gramEnd"/>
      <w:r w:rsidRPr="000A0F95">
        <w:t>WLP)</w:t>
      </w:r>
      <w:r w:rsidRPr="000A0F95">
        <w:rPr>
          <w:color w:val="EE0000"/>
        </w:rPr>
        <w:t>*</w:t>
      </w:r>
      <w:r w:rsidRPr="000A0F95">
        <w:t xml:space="preserve"> process, based on its market-proven Mass Reflow Molded </w:t>
      </w:r>
      <w:proofErr w:type="gramStart"/>
      <w:r w:rsidRPr="000A0F95">
        <w:t>Underfill(</w:t>
      </w:r>
      <w:proofErr w:type="gramEnd"/>
      <w:r w:rsidRPr="000A0F95">
        <w:t>MR-</w:t>
      </w:r>
      <w:proofErr w:type="gramStart"/>
      <w:r w:rsidRPr="000A0F95">
        <w:t>MUF)</w:t>
      </w:r>
      <w:r w:rsidRPr="000A0F95">
        <w:rPr>
          <w:color w:val="EE0000"/>
        </w:rPr>
        <w:t>*</w:t>
      </w:r>
      <w:proofErr w:type="gramEnd"/>
      <w:r w:rsidRPr="000A0F95">
        <w:t xml:space="preserve"> technology, enables stable high-volume production of </w:t>
      </w:r>
      <w:proofErr w:type="spellStart"/>
      <w:r w:rsidRPr="000A0F95">
        <w:t>iHBM</w:t>
      </w:r>
      <w:proofErr w:type="spellEnd"/>
      <w:r w:rsidRPr="000A0F95">
        <w:t xml:space="preserve">-equipped chips. Furthermore, the solution offers high design compatibility with existing </w:t>
      </w:r>
      <w:r w:rsidRPr="000A0F95">
        <w:lastRenderedPageBreak/>
        <w:t>System-in-</w:t>
      </w:r>
      <w:proofErr w:type="gramStart"/>
      <w:r w:rsidRPr="000A0F95">
        <w:t>Package(</w:t>
      </w:r>
      <w:proofErr w:type="spellStart"/>
      <w:proofErr w:type="gramEnd"/>
      <w:r w:rsidRPr="000A0F95">
        <w:t>SiP</w:t>
      </w:r>
      <w:proofErr w:type="spellEnd"/>
      <w:r w:rsidRPr="000A0F95">
        <w:t>)</w:t>
      </w:r>
      <w:r w:rsidRPr="000A0F95">
        <w:rPr>
          <w:color w:val="EE0000"/>
        </w:rPr>
        <w:t>*</w:t>
      </w:r>
      <w:r w:rsidRPr="000A0F95">
        <w:t> architectures, allowing customers to adopt the new thermal technology with minimal design adjustments.</w:t>
      </w:r>
    </w:p>
    <w:p w14:paraId="75E7890E" w14:textId="77777777" w:rsidR="000A0F95" w:rsidRPr="000A0F95" w:rsidRDefault="000A0F95" w:rsidP="000A0F95">
      <w:pPr>
        <w:rPr>
          <w:color w:val="808080" w:themeColor="background1" w:themeShade="80"/>
          <w:sz w:val="20"/>
          <w:szCs w:val="22"/>
        </w:rPr>
      </w:pPr>
      <w:r w:rsidRPr="000A0F95">
        <w:rPr>
          <w:color w:val="EE0000"/>
          <w:sz w:val="20"/>
          <w:szCs w:val="22"/>
        </w:rPr>
        <w:t>*</w:t>
      </w:r>
      <w:r w:rsidRPr="000A0F95">
        <w:rPr>
          <w:color w:val="808080" w:themeColor="background1" w:themeShade="80"/>
          <w:sz w:val="20"/>
          <w:szCs w:val="22"/>
        </w:rPr>
        <w:t> </w:t>
      </w:r>
      <w:proofErr w:type="gramStart"/>
      <w:r w:rsidRPr="000A0F95">
        <w:rPr>
          <w:color w:val="808080" w:themeColor="background1" w:themeShade="80"/>
          <w:sz w:val="20"/>
          <w:szCs w:val="22"/>
        </w:rPr>
        <w:t>WLP(</w:t>
      </w:r>
      <w:proofErr w:type="gramEnd"/>
      <w:r w:rsidRPr="000A0F95">
        <w:rPr>
          <w:color w:val="808080" w:themeColor="background1" w:themeShade="80"/>
          <w:sz w:val="20"/>
          <w:szCs w:val="22"/>
        </w:rPr>
        <w:t>Wafer Level Packaging): The technology enables the packaging process and testing all at once without cutting a wafer into separate chips. It helps minimize the size of chips and improve electrical efficiency.</w:t>
      </w:r>
      <w:r w:rsidRPr="000A0F95">
        <w:rPr>
          <w:color w:val="808080" w:themeColor="background1" w:themeShade="80"/>
          <w:sz w:val="20"/>
          <w:szCs w:val="22"/>
        </w:rPr>
        <w:br/>
      </w:r>
      <w:r w:rsidRPr="000A0F95">
        <w:rPr>
          <w:color w:val="EE0000"/>
          <w:sz w:val="20"/>
          <w:szCs w:val="22"/>
        </w:rPr>
        <w:t>*</w:t>
      </w:r>
      <w:r w:rsidRPr="000A0F95">
        <w:rPr>
          <w:color w:val="808080" w:themeColor="background1" w:themeShade="80"/>
          <w:sz w:val="20"/>
          <w:szCs w:val="22"/>
        </w:rPr>
        <w:t> MR-MUF(Mass Reflow Molded Underfill): A process used for stacking semiconductors by injecting liquid protective materials between chips to protect circuits.</w:t>
      </w:r>
      <w:r w:rsidRPr="000A0F95">
        <w:rPr>
          <w:color w:val="808080" w:themeColor="background1" w:themeShade="80"/>
          <w:sz w:val="20"/>
          <w:szCs w:val="22"/>
        </w:rPr>
        <w:br/>
      </w:r>
      <w:r w:rsidRPr="000A0F95">
        <w:rPr>
          <w:color w:val="EE0000"/>
          <w:sz w:val="20"/>
          <w:szCs w:val="22"/>
        </w:rPr>
        <w:t>*</w:t>
      </w:r>
      <w:r w:rsidRPr="000A0F95">
        <w:rPr>
          <w:color w:val="808080" w:themeColor="background1" w:themeShade="80"/>
          <w:sz w:val="20"/>
          <w:szCs w:val="22"/>
        </w:rPr>
        <w:t> </w:t>
      </w:r>
      <w:proofErr w:type="spellStart"/>
      <w:r w:rsidRPr="000A0F95">
        <w:rPr>
          <w:color w:val="808080" w:themeColor="background1" w:themeShade="80"/>
          <w:sz w:val="20"/>
          <w:szCs w:val="22"/>
        </w:rPr>
        <w:t>SiP</w:t>
      </w:r>
      <w:proofErr w:type="spellEnd"/>
      <w:r w:rsidRPr="000A0F95">
        <w:rPr>
          <w:color w:val="808080" w:themeColor="background1" w:themeShade="80"/>
          <w:sz w:val="20"/>
          <w:szCs w:val="22"/>
        </w:rPr>
        <w:t>(System in Package): A packaging technology that allows different chips to operate cohesively as a one system by placing them next to each other in a vertical or horizontal alignment.</w:t>
      </w:r>
    </w:p>
    <w:p w14:paraId="4E81D226" w14:textId="77777777" w:rsidR="000A0F95" w:rsidRPr="000A0F95" w:rsidRDefault="000A0F95" w:rsidP="000A0F95">
      <w:r w:rsidRPr="000A0F95">
        <w:t xml:space="preserve">Through the </w:t>
      </w:r>
      <w:proofErr w:type="spellStart"/>
      <w:r w:rsidRPr="000A0F95">
        <w:t>iHBM</w:t>
      </w:r>
      <w:proofErr w:type="spellEnd"/>
      <w:r w:rsidRPr="000A0F95">
        <w:t xml:space="preserve"> solution, slated for deployment in next-generation HBM products, including HBM5, SK </w:t>
      </w:r>
      <w:proofErr w:type="spellStart"/>
      <w:r w:rsidRPr="000A0F95">
        <w:t>hynix</w:t>
      </w:r>
      <w:proofErr w:type="spellEnd"/>
      <w:r w:rsidRPr="000A0F95">
        <w:t xml:space="preserve"> aims to increase the stability and operational efficiency of </w:t>
      </w:r>
      <w:proofErr w:type="gramStart"/>
      <w:r w:rsidRPr="000A0F95">
        <w:t>HPCs,</w:t>
      </w:r>
      <w:proofErr w:type="gramEnd"/>
      <w:r w:rsidRPr="000A0F95">
        <w:t xml:space="preserve"> AI data centers by meeting heat management standards required in high-density and high-bandwidth environments.</w:t>
      </w:r>
    </w:p>
    <w:p w14:paraId="6567E394" w14:textId="77777777" w:rsidR="000A0F95" w:rsidRPr="000A0F95" w:rsidRDefault="000A0F95" w:rsidP="000A0F95">
      <w:r w:rsidRPr="000A0F95">
        <w:t>“</w:t>
      </w:r>
      <w:proofErr w:type="spellStart"/>
      <w:r w:rsidRPr="000A0F95">
        <w:t>iHBM</w:t>
      </w:r>
      <w:proofErr w:type="spellEnd"/>
      <w:r w:rsidRPr="000A0F95">
        <w:t xml:space="preserve"> is an optimal solution for thermal management, combining our memory design capabilities with advanced packaging technology,” said </w:t>
      </w:r>
      <w:proofErr w:type="spellStart"/>
      <w:r w:rsidRPr="000A0F95">
        <w:t>Kangwook</w:t>
      </w:r>
      <w:proofErr w:type="spellEnd"/>
      <w:r w:rsidRPr="000A0F95">
        <w:t xml:space="preserve"> Lee, Senior Vice President and Head of PKG Development at SK </w:t>
      </w:r>
      <w:proofErr w:type="spellStart"/>
      <w:r w:rsidRPr="000A0F95">
        <w:t>hynix</w:t>
      </w:r>
      <w:proofErr w:type="spellEnd"/>
      <w:r w:rsidRPr="000A0F95">
        <w:t>, adding “The company will cement its AI memory leadership by taking preemptive steps to offer values needed in the AI environment for its customers.”</w:t>
      </w:r>
    </w:p>
    <w:p w14:paraId="288E958A" w14:textId="62068BC9" w:rsidR="000A0F95" w:rsidRPr="000A0F95" w:rsidRDefault="000A0F95" w:rsidP="000A0F95">
      <w:r w:rsidRPr="000A0F95">
        <w:rPr>
          <w:b/>
          <w:bCs/>
        </w:rPr>
        <w:t xml:space="preserve">About SK </w:t>
      </w:r>
      <w:proofErr w:type="spellStart"/>
      <w:r w:rsidRPr="000A0F95">
        <w:rPr>
          <w:b/>
          <w:bCs/>
        </w:rPr>
        <w:t>hynix</w:t>
      </w:r>
      <w:proofErr w:type="spellEnd"/>
      <w:r w:rsidRPr="000A0F95">
        <w:rPr>
          <w:b/>
          <w:bCs/>
        </w:rPr>
        <w:t xml:space="preserve"> Inc.</w:t>
      </w:r>
      <w:r w:rsidRPr="000A0F95">
        <w:br/>
        <w:t xml:space="preserve">SK </w:t>
      </w:r>
      <w:proofErr w:type="spellStart"/>
      <w:r w:rsidRPr="000A0F95">
        <w:t>hynix</w:t>
      </w:r>
      <w:proofErr w:type="spellEnd"/>
      <w:r w:rsidRPr="000A0F95">
        <w:t xml:space="preserve"> Inc., headquartered in Korea, is the world’s top-tier semiconductor supplier offering Dynamic </w:t>
      </w:r>
      <w:proofErr w:type="gramStart"/>
      <w:r w:rsidRPr="000A0F95">
        <w:t>Random Access Memory</w:t>
      </w:r>
      <w:proofErr w:type="gramEnd"/>
      <w:r w:rsidRPr="000A0F95">
        <w:t xml:space="preserve"> chips (“DRAM”) and flash memory chips (“NAND flash”) for a wide range of distinguished customers globally. The Company’s shares are traded on the Korea Exchange, and the Global Depository shares are listed on the Luxembourg Stock Exchange. </w:t>
      </w:r>
    </w:p>
    <w:p w14:paraId="7037527F" w14:textId="77777777" w:rsidR="0077403D" w:rsidRPr="000A0F95" w:rsidRDefault="0077403D" w:rsidP="000A0F95"/>
    <w:sectPr w:rsidR="0077403D" w:rsidRPr="000A0F9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64308" w14:textId="77777777" w:rsidR="003F4BCD" w:rsidRDefault="003F4BCD" w:rsidP="00CC63AA">
      <w:pPr>
        <w:spacing w:after="0"/>
      </w:pPr>
      <w:r>
        <w:separator/>
      </w:r>
    </w:p>
  </w:endnote>
  <w:endnote w:type="continuationSeparator" w:id="0">
    <w:p w14:paraId="6609FD27" w14:textId="77777777" w:rsidR="003F4BCD" w:rsidRDefault="003F4BCD" w:rsidP="00CC63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E18C3" w14:textId="77777777" w:rsidR="003F4BCD" w:rsidRDefault="003F4BCD" w:rsidP="00CC63AA">
      <w:pPr>
        <w:spacing w:after="0"/>
      </w:pPr>
      <w:r>
        <w:separator/>
      </w:r>
    </w:p>
  </w:footnote>
  <w:footnote w:type="continuationSeparator" w:id="0">
    <w:p w14:paraId="08E10598" w14:textId="77777777" w:rsidR="003F4BCD" w:rsidRDefault="003F4BCD" w:rsidP="00CC63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F2"/>
    <w:rsid w:val="000A0F95"/>
    <w:rsid w:val="003E2344"/>
    <w:rsid w:val="003F4BCD"/>
    <w:rsid w:val="0042295B"/>
    <w:rsid w:val="004E5C09"/>
    <w:rsid w:val="0077403D"/>
    <w:rsid w:val="0090427D"/>
    <w:rsid w:val="00946AF2"/>
    <w:rsid w:val="00A05082"/>
    <w:rsid w:val="00A10429"/>
    <w:rsid w:val="00CA285D"/>
    <w:rsid w:val="00C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A7B5B"/>
  <w15:chartTrackingRefBased/>
  <w15:docId w15:val="{89DD6C5E-E7F7-4C85-A9E0-7F0E1AC1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46A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46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46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46A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46A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46A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46A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46A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46A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46A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rsid w:val="00946A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46A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46A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46A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46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46A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46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46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46AF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46A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46AF2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46A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46AF2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946AF2"/>
    <w:rPr>
      <w:b/>
      <w:bCs/>
      <w:smallCaps/>
      <w:color w:val="2E74B5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46AF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46AF2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CC63A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CC63AA"/>
  </w:style>
  <w:style w:type="paragraph" w:styleId="ad">
    <w:name w:val="footer"/>
    <w:basedOn w:val="a"/>
    <w:link w:val="Char4"/>
    <w:uiPriority w:val="99"/>
    <w:unhideWhenUsed/>
    <w:rsid w:val="00CC63A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CC63AA"/>
  </w:style>
  <w:style w:type="table" w:styleId="ae">
    <w:name w:val="Table Grid"/>
    <w:basedOn w:val="a1"/>
    <w:uiPriority w:val="59"/>
    <w:rsid w:val="00CC63AA"/>
    <w:pPr>
      <w:spacing w:after="0"/>
    </w:pPr>
    <w:rPr>
      <w:rFonts w:asciiTheme="minorHAnsi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라희</dc:creator>
  <cp:keywords/>
  <dc:description/>
  <cp:lastModifiedBy>김 라희</cp:lastModifiedBy>
  <cp:revision>2</cp:revision>
  <dcterms:created xsi:type="dcterms:W3CDTF">2026-06-08T01:28:00Z</dcterms:created>
  <dcterms:modified xsi:type="dcterms:W3CDTF">2026-06-08T01:28:00Z</dcterms:modified>
</cp:coreProperties>
</file>