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Borders>
          <w:top w:val="none" w:sz="0" w:space="0" w:color="auto"/>
          <w:left w:val="none" w:sz="0" w:space="0" w:color="auto"/>
          <w:bottom w:val="single" w:sz="18" w:space="0" w:color="FF0000"/>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C63AA" w14:paraId="0C9304B4" w14:textId="77777777" w:rsidTr="00123F98">
        <w:trPr>
          <w:trHeight w:val="1168"/>
        </w:trPr>
        <w:tc>
          <w:tcPr>
            <w:tcW w:w="4508" w:type="dxa"/>
            <w:vAlign w:val="center"/>
          </w:tcPr>
          <w:p w14:paraId="10DC0F0F" w14:textId="30036CE0" w:rsidR="00CC63AA" w:rsidRDefault="00A10429" w:rsidP="00123F98">
            <w:pPr>
              <w:wordWrap/>
              <w:rPr>
                <w:rFonts w:ascii="HY견고딕" w:eastAsia="HY견고딕"/>
                <w:sz w:val="22"/>
              </w:rPr>
            </w:pPr>
            <w:r>
              <w:rPr>
                <w:rFonts w:ascii="HY견고딕" w:eastAsia="HY견고딕"/>
                <w:noProof/>
              </w:rPr>
              <w:drawing>
                <wp:inline distT="0" distB="0" distL="0" distR="0" wp14:anchorId="0E74A27F" wp14:editId="2B8AA2CD">
                  <wp:extent cx="2695116" cy="581025"/>
                  <wp:effectExtent l="0" t="0" r="0" b="0"/>
                  <wp:docPr id="149305903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59039" name="그림 1493059039"/>
                          <pic:cNvPicPr/>
                        </pic:nvPicPr>
                        <pic:blipFill rotWithShape="1">
                          <a:blip r:embed="rId6">
                            <a:extLst>
                              <a:ext uri="{28A0092B-C50C-407E-A947-70E740481C1C}">
                                <a14:useLocalDpi xmlns:a14="http://schemas.microsoft.com/office/drawing/2010/main" val="0"/>
                              </a:ext>
                            </a:extLst>
                          </a:blip>
                          <a:srcRect l="13086" t="35083" r="11719" b="41989"/>
                          <a:stretch>
                            <a:fillRect/>
                          </a:stretch>
                        </pic:blipFill>
                        <pic:spPr bwMode="auto">
                          <a:xfrm>
                            <a:off x="0" y="0"/>
                            <a:ext cx="2702761" cy="582673"/>
                          </a:xfrm>
                          <a:prstGeom prst="rect">
                            <a:avLst/>
                          </a:prstGeom>
                          <a:ln>
                            <a:noFill/>
                          </a:ln>
                          <a:extLst>
                            <a:ext uri="{53640926-AAD7-44D8-BBD7-CCE9431645EC}">
                              <a14:shadowObscured xmlns:a14="http://schemas.microsoft.com/office/drawing/2010/main"/>
                            </a:ext>
                          </a:extLst>
                        </pic:spPr>
                      </pic:pic>
                    </a:graphicData>
                  </a:graphic>
                </wp:inline>
              </w:drawing>
            </w:r>
          </w:p>
        </w:tc>
        <w:tc>
          <w:tcPr>
            <w:tcW w:w="4508" w:type="dxa"/>
            <w:vAlign w:val="center"/>
          </w:tcPr>
          <w:p w14:paraId="653A671F" w14:textId="1946C73A" w:rsidR="00CC63AA" w:rsidRDefault="00CC63AA" w:rsidP="00123F98">
            <w:pPr>
              <w:wordWrap/>
              <w:jc w:val="right"/>
              <w:rPr>
                <w:rFonts w:ascii="HY견고딕" w:eastAsia="HY견고딕"/>
                <w:sz w:val="22"/>
              </w:rPr>
            </w:pPr>
          </w:p>
        </w:tc>
      </w:tr>
    </w:tbl>
    <w:p w14:paraId="246D89A8" w14:textId="77777777" w:rsidR="00CC63AA" w:rsidRDefault="00CC63AA" w:rsidP="00946AF2">
      <w:pPr>
        <w:rPr>
          <w:b/>
          <w:bCs/>
        </w:rPr>
      </w:pPr>
    </w:p>
    <w:p w14:paraId="09ED453A" w14:textId="29A62736" w:rsidR="00CC63AA" w:rsidRDefault="0016688C" w:rsidP="00946AF2">
      <w:pPr>
        <w:rPr>
          <w:b/>
          <w:bCs/>
        </w:rPr>
      </w:pPr>
      <w:r w:rsidRPr="0016688C">
        <w:rPr>
          <w:b/>
          <w:bCs/>
        </w:rPr>
        <w:t xml:space="preserve">SK </w:t>
      </w:r>
      <w:proofErr w:type="spellStart"/>
      <w:r w:rsidRPr="0016688C">
        <w:rPr>
          <w:b/>
          <w:bCs/>
        </w:rPr>
        <w:t>hynix</w:t>
      </w:r>
      <w:proofErr w:type="spellEnd"/>
      <w:r w:rsidRPr="0016688C">
        <w:rPr>
          <w:b/>
          <w:bCs/>
        </w:rPr>
        <w:t xml:space="preserve"> to Showcase AI Memory Leadership at NVIDIA GTC </w:t>
      </w:r>
      <w:r w:rsidRPr="0016688C">
        <w:rPr>
          <w:b/>
          <w:bCs/>
          <w:u w:val="double"/>
        </w:rPr>
        <w:t>2026</w:t>
      </w:r>
      <w:r w:rsidRPr="0016688C">
        <w:rPr>
          <w:rFonts w:hint="eastAsia"/>
          <w:b/>
          <w:bCs/>
          <w:u w:val="double"/>
        </w:rPr>
        <w:t>March</w:t>
      </w:r>
      <w:r>
        <w:rPr>
          <w:rFonts w:hint="eastAsia"/>
          <w:b/>
          <w:bCs/>
        </w:rPr>
        <w:t xml:space="preserve"> 16</w:t>
      </w:r>
      <w:r w:rsidR="000A0F95">
        <w:rPr>
          <w:rFonts w:hint="eastAsia"/>
          <w:b/>
          <w:bCs/>
        </w:rPr>
        <w:t>, 2026</w:t>
      </w:r>
    </w:p>
    <w:p w14:paraId="314ECA17" w14:textId="3FA040BA" w:rsidR="004F486A" w:rsidRDefault="004F486A" w:rsidP="00946AF2">
      <w:pPr>
        <w:rPr>
          <w:b/>
          <w:bCs/>
        </w:rPr>
      </w:pPr>
      <w:r w:rsidRPr="004F486A">
        <w:rPr>
          <w:b/>
          <w:bCs/>
        </w:rPr>
        <w:t>News Highlights</w:t>
      </w:r>
    </w:p>
    <w:p w14:paraId="120633DE" w14:textId="78777A63" w:rsidR="004F486A" w:rsidRDefault="0016688C" w:rsidP="00946AF2">
      <w:pPr>
        <w:rPr>
          <w:b/>
          <w:bCs/>
        </w:rPr>
      </w:pPr>
      <w:r w:rsidRPr="0016688C">
        <w:rPr>
          <w:b/>
          <w:bCs/>
        </w:rPr>
        <w:t xml:space="preserve">· SK </w:t>
      </w:r>
      <w:proofErr w:type="spellStart"/>
      <w:r w:rsidRPr="0016688C">
        <w:rPr>
          <w:b/>
          <w:bCs/>
        </w:rPr>
        <w:t>hynix</w:t>
      </w:r>
      <w:proofErr w:type="spellEnd"/>
      <w:r w:rsidRPr="0016688C">
        <w:rPr>
          <w:b/>
          <w:bCs/>
        </w:rPr>
        <w:t xml:space="preserve"> to participate in ‘GTC 2026’ in San Jose, March 16-19</w:t>
      </w:r>
      <w:r w:rsidRPr="0016688C">
        <w:rPr>
          <w:b/>
          <w:bCs/>
        </w:rPr>
        <w:br/>
        <w:t>· Exhibition themed ‘Spotlight on AI Memory’ to unveil full lineup of AI memory solutions</w:t>
      </w:r>
      <w:r w:rsidRPr="0016688C">
        <w:rPr>
          <w:b/>
          <w:bCs/>
        </w:rPr>
        <w:br/>
        <w:t>· Key executives, including SK Chairman Chey Tae-</w:t>
      </w:r>
      <w:proofErr w:type="spellStart"/>
      <w:r w:rsidRPr="0016688C">
        <w:rPr>
          <w:b/>
          <w:bCs/>
        </w:rPr>
        <w:t>won</w:t>
      </w:r>
      <w:proofErr w:type="spellEnd"/>
      <w:r w:rsidRPr="0016688C">
        <w:rPr>
          <w:b/>
          <w:bCs/>
        </w:rPr>
        <w:t xml:space="preserve"> and SK </w:t>
      </w:r>
      <w:proofErr w:type="spellStart"/>
      <w:r w:rsidRPr="0016688C">
        <w:rPr>
          <w:b/>
          <w:bCs/>
        </w:rPr>
        <w:t>hynix</w:t>
      </w:r>
      <w:proofErr w:type="spellEnd"/>
      <w:r w:rsidRPr="0016688C">
        <w:rPr>
          <w:b/>
          <w:bCs/>
        </w:rPr>
        <w:t xml:space="preserve"> CEO Kwak Noh-</w:t>
      </w:r>
      <w:proofErr w:type="spellStart"/>
      <w:r w:rsidRPr="0016688C">
        <w:rPr>
          <w:b/>
          <w:bCs/>
        </w:rPr>
        <w:t>jung</w:t>
      </w:r>
      <w:proofErr w:type="spellEnd"/>
      <w:r w:rsidRPr="0016688C">
        <w:rPr>
          <w:b/>
          <w:bCs/>
        </w:rPr>
        <w:t>, to attend and expand global AI collaborations</w:t>
      </w:r>
    </w:p>
    <w:p w14:paraId="13027B32" w14:textId="77777777" w:rsidR="0016688C" w:rsidRDefault="0016688C" w:rsidP="00946AF2">
      <w:pPr>
        <w:rPr>
          <w:b/>
          <w:bCs/>
        </w:rPr>
      </w:pPr>
    </w:p>
    <w:p w14:paraId="2E5B2032" w14:textId="77777777" w:rsidR="00737B9A" w:rsidRPr="00737B9A" w:rsidRDefault="00737B9A" w:rsidP="00737B9A">
      <w:r w:rsidRPr="00737B9A">
        <w:rPr>
          <w:b/>
          <w:bCs/>
        </w:rPr>
        <w:t xml:space="preserve">Seoul, March 17, 2026 – </w:t>
      </w:r>
      <w:r w:rsidRPr="00737B9A">
        <w:t xml:space="preserve">SK </w:t>
      </w:r>
      <w:proofErr w:type="spellStart"/>
      <w:r w:rsidRPr="00737B9A">
        <w:t>hynix</w:t>
      </w:r>
      <w:proofErr w:type="spellEnd"/>
      <w:r w:rsidRPr="00737B9A">
        <w:t xml:space="preserve"> Inc. (or “the company”, </w:t>
      </w:r>
      <w:hyperlink r:id="rId7" w:tgtFrame="_blank" w:history="1">
        <w:r w:rsidRPr="00737B9A">
          <w:rPr>
            <w:rStyle w:val="aa"/>
          </w:rPr>
          <w:t>www.skhynix.com</w:t>
        </w:r>
      </w:hyperlink>
      <w:r w:rsidRPr="00737B9A">
        <w:t>) announced today that it is participating in GTC 2026, held from March 16 to 19 in San Jose, California. </w:t>
      </w:r>
    </w:p>
    <w:p w14:paraId="78EEE618" w14:textId="77777777" w:rsidR="00737B9A" w:rsidRPr="00737B9A" w:rsidRDefault="00737B9A" w:rsidP="00737B9A">
      <w:r w:rsidRPr="00737B9A">
        <w:t>NVIDIA GTC is the global AI conference where business leaders and developers gather to share the latest breakthroughs and future trends in AI and accelerated computing.</w:t>
      </w:r>
    </w:p>
    <w:p w14:paraId="7FFE0EF1" w14:textId="77777777" w:rsidR="00737B9A" w:rsidRPr="00737B9A" w:rsidRDefault="00737B9A" w:rsidP="00737B9A">
      <w:r w:rsidRPr="00737B9A">
        <w:t xml:space="preserve">SK </w:t>
      </w:r>
      <w:proofErr w:type="spellStart"/>
      <w:r w:rsidRPr="00737B9A">
        <w:t>hynix</w:t>
      </w:r>
      <w:proofErr w:type="spellEnd"/>
      <w:r w:rsidRPr="00737B9A">
        <w:t xml:space="preserve"> memory solutions are designed to minimize data bottlenecks and maximize performance for both AI training and inference in NVIDIA AI infrastructure. Through its participation in GTC 2026, the company plans to demonstrate its competitive edge in memory </w:t>
      </w:r>
      <w:proofErr w:type="gramStart"/>
      <w:r w:rsidRPr="00737B9A">
        <w:t>technology—</w:t>
      </w:r>
      <w:proofErr w:type="gramEnd"/>
      <w:r w:rsidRPr="00737B9A">
        <w:t>the core infrastructure of the AI era.</w:t>
      </w:r>
    </w:p>
    <w:p w14:paraId="509026DD" w14:textId="77777777" w:rsidR="00737B9A" w:rsidRPr="00737B9A" w:rsidRDefault="00737B9A" w:rsidP="00737B9A">
      <w:r w:rsidRPr="00737B9A">
        <w:t xml:space="preserve">Under the theme ‘Spotlight on AI Memory,’ SK </w:t>
      </w:r>
      <w:proofErr w:type="spellStart"/>
      <w:r w:rsidRPr="00737B9A">
        <w:t>hynix</w:t>
      </w:r>
      <w:proofErr w:type="spellEnd"/>
      <w:r w:rsidRPr="00737B9A">
        <w:t xml:space="preserve"> will feature an exhibition space dedicated to the AI memory technologies and solutions. The booth will consist of three main areas: the NVIDIA Collaboration Zone, the Product Portfolio Zone, and the Event Zone. The exhibition is designed around interactive content to provide visitors with an intuitive understanding of AI memory technology.</w:t>
      </w:r>
    </w:p>
    <w:p w14:paraId="452FDB1B" w14:textId="77777777" w:rsidR="00737B9A" w:rsidRPr="00737B9A" w:rsidRDefault="00737B9A" w:rsidP="00737B9A">
      <w:r w:rsidRPr="00737B9A">
        <w:t xml:space="preserve">The NVIDIA Collaboration Zone, located at the entrance, is the centerpiece of the exhibition, highlighting the synergy between SK </w:t>
      </w:r>
      <w:proofErr w:type="spellStart"/>
      <w:r w:rsidRPr="00737B9A">
        <w:t>hynix</w:t>
      </w:r>
      <w:proofErr w:type="spellEnd"/>
      <w:r w:rsidRPr="00737B9A">
        <w:t xml:space="preserve"> and NVIDIA. The company will display the memory configuration mounted on GPU-based AI accelerators through physical models and actual hardware, focusing on the actual application of SK </w:t>
      </w:r>
      <w:proofErr w:type="spellStart"/>
      <w:r w:rsidRPr="00737B9A">
        <w:t>hynix’s</w:t>
      </w:r>
      <w:proofErr w:type="spellEnd"/>
      <w:r w:rsidRPr="00737B9A">
        <w:t xml:space="preserve"> memory products such as HBM4, HBM3E, and SOCAMM2 designed for NVIDIA AI platforms.</w:t>
      </w:r>
    </w:p>
    <w:p w14:paraId="57F56716" w14:textId="77777777" w:rsidR="00737B9A" w:rsidRPr="00737B9A" w:rsidRDefault="00737B9A" w:rsidP="00737B9A">
      <w:r w:rsidRPr="00737B9A">
        <w:lastRenderedPageBreak/>
        <w:t xml:space="preserve">Notably, the company will showcase a liquid-cooled </w:t>
      </w:r>
      <w:proofErr w:type="spellStart"/>
      <w:r w:rsidRPr="00737B9A">
        <w:t>eSSD</w:t>
      </w:r>
      <w:proofErr w:type="spellEnd"/>
      <w:r w:rsidRPr="00737B9A">
        <w:t xml:space="preserve"> developed in collaboration with NVIDIA, along with an </w:t>
      </w:r>
      <w:hyperlink r:id="rId8" w:tgtFrame="_blank" w:tooltip="NVIDIA DGX Spark" w:history="1">
        <w:r w:rsidRPr="00737B9A">
          <w:rPr>
            <w:rStyle w:val="aa"/>
          </w:rPr>
          <w:t>NVIDIA DGX Spark</w:t>
        </w:r>
      </w:hyperlink>
      <w:r w:rsidRPr="00737B9A">
        <w:t xml:space="preserve">, desktop AI supercomputer equipped with SK </w:t>
      </w:r>
      <w:proofErr w:type="spellStart"/>
      <w:r w:rsidRPr="00737B9A">
        <w:t>hynix’s</w:t>
      </w:r>
      <w:proofErr w:type="spellEnd"/>
      <w:r w:rsidRPr="00737B9A">
        <w:t xml:space="preserve"> LPDDR5X.</w:t>
      </w:r>
    </w:p>
    <w:p w14:paraId="7C808D62" w14:textId="77777777" w:rsidR="00737B9A" w:rsidRPr="00737B9A" w:rsidRDefault="00737B9A" w:rsidP="00737B9A">
      <w:r w:rsidRPr="00737B9A">
        <w:t xml:space="preserve">In the Product Portfolio Zone, visitors can view a comprehensive lineup of memory products engineered for the AI era. This includes the infrastructure-essential HBM4 and HBM3E, as well as high-capacity server DRAM modules, LPDDR6, GDDR7, </w:t>
      </w:r>
      <w:proofErr w:type="spellStart"/>
      <w:r w:rsidRPr="00737B9A">
        <w:t>eSSD</w:t>
      </w:r>
      <w:proofErr w:type="spellEnd"/>
      <w:r w:rsidRPr="00737B9A">
        <w:t>, and Automotive Solutions.</w:t>
      </w:r>
    </w:p>
    <w:p w14:paraId="6ABCD2FF" w14:textId="77777777" w:rsidR="00737B9A" w:rsidRPr="00737B9A" w:rsidRDefault="00737B9A" w:rsidP="00737B9A">
      <w:r w:rsidRPr="00737B9A">
        <w:t>An interactive environment allows visitors to use joysticks to select products and view specific features and use cases on-screen, enabling them to explore and understand the technology at their own pace.</w:t>
      </w:r>
    </w:p>
    <w:p w14:paraId="68F77E24" w14:textId="77777777" w:rsidR="00737B9A" w:rsidRPr="00737B9A" w:rsidRDefault="00737B9A" w:rsidP="00737B9A">
      <w:r w:rsidRPr="00737B9A">
        <w:t xml:space="preserve">The Event Zone offers </w:t>
      </w:r>
      <w:proofErr w:type="gramStart"/>
      <w:r w:rsidRPr="00737B9A">
        <w:t>a hands</w:t>
      </w:r>
      <w:proofErr w:type="gramEnd"/>
      <w:r w:rsidRPr="00737B9A">
        <w:t>-on experience with an ‘HBM 16-High Stacking Game.’ By virtually stacking memory chips, participants can gain insight into the TSV (Through Silicon Via) process and high-stack packaging technology, fostering a deeper understanding of how high-performance AI semiconductors are manufactured.</w:t>
      </w:r>
    </w:p>
    <w:p w14:paraId="79AF0E6E" w14:textId="77777777" w:rsidR="00737B9A" w:rsidRPr="00737B9A" w:rsidRDefault="00737B9A" w:rsidP="00737B9A">
      <w:r w:rsidRPr="00737B9A">
        <w:t xml:space="preserve">Throughout GTC 2026, SK </w:t>
      </w:r>
      <w:proofErr w:type="spellStart"/>
      <w:r w:rsidRPr="00737B9A">
        <w:t>hynix</w:t>
      </w:r>
      <w:proofErr w:type="spellEnd"/>
      <w:r w:rsidRPr="00737B9A">
        <w:t xml:space="preserve"> plans to explore future collaboration strategies aligned with current global AI trends. Key executives, including SK Chairman Chey Tae-</w:t>
      </w:r>
      <w:proofErr w:type="spellStart"/>
      <w:r w:rsidRPr="00737B9A">
        <w:t>won</w:t>
      </w:r>
      <w:proofErr w:type="spellEnd"/>
      <w:r w:rsidRPr="00737B9A">
        <w:t xml:space="preserve"> and SK </w:t>
      </w:r>
      <w:proofErr w:type="spellStart"/>
      <w:r w:rsidRPr="00737B9A">
        <w:t>hynix</w:t>
      </w:r>
      <w:proofErr w:type="spellEnd"/>
      <w:r w:rsidRPr="00737B9A">
        <w:t xml:space="preserve"> CEO Kwak Noh-</w:t>
      </w:r>
      <w:proofErr w:type="spellStart"/>
      <w:r w:rsidRPr="00737B9A">
        <w:t>jung</w:t>
      </w:r>
      <w:proofErr w:type="spellEnd"/>
      <w:r w:rsidRPr="00737B9A">
        <w:t>, will meet with global tech giants to share insights on AI evolution and infrastructure shifts while discussing long-term strategic partnerships.</w:t>
      </w:r>
    </w:p>
    <w:p w14:paraId="4BC98C9E" w14:textId="77777777" w:rsidR="00737B9A" w:rsidRPr="00737B9A" w:rsidRDefault="00737B9A" w:rsidP="00737B9A">
      <w:r w:rsidRPr="00737B9A">
        <w:t>The company will also host technical sessions to discuss the future of AI-driven manufacturing and the pivotal role of memory technology in achieving high-performance AI.</w:t>
      </w:r>
    </w:p>
    <w:p w14:paraId="0E247094" w14:textId="77777777" w:rsidR="00737B9A" w:rsidRPr="00737B9A" w:rsidRDefault="00737B9A" w:rsidP="00737B9A">
      <w:r w:rsidRPr="00737B9A">
        <w:t xml:space="preserve">SK </w:t>
      </w:r>
      <w:proofErr w:type="spellStart"/>
      <w:r w:rsidRPr="00737B9A">
        <w:t>hynix</w:t>
      </w:r>
      <w:proofErr w:type="spellEnd"/>
      <w:r w:rsidRPr="00737B9A">
        <w:t xml:space="preserve"> highlighted that as AI technology evolves, memory is transcending its role as a mere component to become a core element that determines the architecture and performance of the entire AI infrastructure. By applying its memory expertise across the entire AI spectrum—from data centers to on-device </w:t>
      </w:r>
      <w:proofErr w:type="gramStart"/>
      <w:r w:rsidRPr="00737B9A">
        <w:t>applications—</w:t>
      </w:r>
      <w:proofErr w:type="gramEnd"/>
      <w:r w:rsidRPr="00737B9A">
        <w:t>the company aims to shape the future of AI alongside its global partners.</w:t>
      </w:r>
    </w:p>
    <w:p w14:paraId="7037527F" w14:textId="77777777" w:rsidR="0077403D" w:rsidRPr="00737B9A" w:rsidRDefault="0077403D" w:rsidP="004F486A"/>
    <w:sectPr w:rsidR="0077403D" w:rsidRPr="00737B9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09DD9" w14:textId="77777777" w:rsidR="003E73CA" w:rsidRDefault="003E73CA" w:rsidP="00CC63AA">
      <w:pPr>
        <w:spacing w:after="0"/>
      </w:pPr>
      <w:r>
        <w:separator/>
      </w:r>
    </w:p>
  </w:endnote>
  <w:endnote w:type="continuationSeparator" w:id="0">
    <w:p w14:paraId="1370ED52" w14:textId="77777777" w:rsidR="003E73CA" w:rsidRDefault="003E73CA" w:rsidP="00CC6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Y견고딕">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0C269" w14:textId="77777777" w:rsidR="003E73CA" w:rsidRDefault="003E73CA" w:rsidP="00CC63AA">
      <w:pPr>
        <w:spacing w:after="0"/>
      </w:pPr>
      <w:r>
        <w:separator/>
      </w:r>
    </w:p>
  </w:footnote>
  <w:footnote w:type="continuationSeparator" w:id="0">
    <w:p w14:paraId="2B6413B7" w14:textId="77777777" w:rsidR="003E73CA" w:rsidRDefault="003E73CA" w:rsidP="00CC63A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F2"/>
    <w:rsid w:val="000A0F95"/>
    <w:rsid w:val="0016688C"/>
    <w:rsid w:val="003E2344"/>
    <w:rsid w:val="003E73CA"/>
    <w:rsid w:val="003F4BCD"/>
    <w:rsid w:val="0042295B"/>
    <w:rsid w:val="004E5C09"/>
    <w:rsid w:val="004F486A"/>
    <w:rsid w:val="00737B9A"/>
    <w:rsid w:val="0077403D"/>
    <w:rsid w:val="0090427D"/>
    <w:rsid w:val="00946AF2"/>
    <w:rsid w:val="00A05082"/>
    <w:rsid w:val="00A10429"/>
    <w:rsid w:val="00B7222C"/>
    <w:rsid w:val="00CA285D"/>
    <w:rsid w:val="00CC63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A7B5B"/>
  <w15:chartTrackingRefBased/>
  <w15:docId w15:val="{89DD6C5E-E7F7-4C85-A9E0-7F0E1AC1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946A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946A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946A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946A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946A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946A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946A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946A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946A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46AF2"/>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946AF2"/>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946AF2"/>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946AF2"/>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946AF2"/>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946AF2"/>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946AF2"/>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946AF2"/>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946AF2"/>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946AF2"/>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946AF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6A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946AF2"/>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46AF2"/>
    <w:pPr>
      <w:spacing w:before="160"/>
      <w:jc w:val="center"/>
    </w:pPr>
    <w:rPr>
      <w:i/>
      <w:iCs/>
      <w:color w:val="404040" w:themeColor="text1" w:themeTint="BF"/>
    </w:rPr>
  </w:style>
  <w:style w:type="character" w:customStyle="1" w:styleId="Char1">
    <w:name w:val="인용 Char"/>
    <w:basedOn w:val="a0"/>
    <w:link w:val="a5"/>
    <w:uiPriority w:val="29"/>
    <w:rsid w:val="00946AF2"/>
    <w:rPr>
      <w:i/>
      <w:iCs/>
      <w:color w:val="404040" w:themeColor="text1" w:themeTint="BF"/>
    </w:rPr>
  </w:style>
  <w:style w:type="paragraph" w:styleId="a6">
    <w:name w:val="List Paragraph"/>
    <w:basedOn w:val="a"/>
    <w:uiPriority w:val="34"/>
    <w:qFormat/>
    <w:rsid w:val="00946AF2"/>
    <w:pPr>
      <w:ind w:left="720"/>
      <w:contextualSpacing/>
    </w:pPr>
  </w:style>
  <w:style w:type="character" w:styleId="a7">
    <w:name w:val="Intense Emphasis"/>
    <w:basedOn w:val="a0"/>
    <w:uiPriority w:val="21"/>
    <w:qFormat/>
    <w:rsid w:val="00946AF2"/>
    <w:rPr>
      <w:i/>
      <w:iCs/>
      <w:color w:val="2E74B5" w:themeColor="accent1" w:themeShade="BF"/>
    </w:rPr>
  </w:style>
  <w:style w:type="paragraph" w:styleId="a8">
    <w:name w:val="Intense Quote"/>
    <w:basedOn w:val="a"/>
    <w:next w:val="a"/>
    <w:link w:val="Char2"/>
    <w:uiPriority w:val="30"/>
    <w:qFormat/>
    <w:rsid w:val="00946A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946AF2"/>
    <w:rPr>
      <w:i/>
      <w:iCs/>
      <w:color w:val="2E74B5" w:themeColor="accent1" w:themeShade="BF"/>
    </w:rPr>
  </w:style>
  <w:style w:type="character" w:styleId="a9">
    <w:name w:val="Intense Reference"/>
    <w:basedOn w:val="a0"/>
    <w:uiPriority w:val="32"/>
    <w:qFormat/>
    <w:rsid w:val="00946AF2"/>
    <w:rPr>
      <w:b/>
      <w:bCs/>
      <w:smallCaps/>
      <w:color w:val="2E74B5" w:themeColor="accent1" w:themeShade="BF"/>
      <w:spacing w:val="5"/>
    </w:rPr>
  </w:style>
  <w:style w:type="character" w:styleId="aa">
    <w:name w:val="Hyperlink"/>
    <w:basedOn w:val="a0"/>
    <w:uiPriority w:val="99"/>
    <w:unhideWhenUsed/>
    <w:rsid w:val="00946AF2"/>
    <w:rPr>
      <w:color w:val="0563C1" w:themeColor="hyperlink"/>
      <w:u w:val="single"/>
    </w:rPr>
  </w:style>
  <w:style w:type="character" w:styleId="ab">
    <w:name w:val="Unresolved Mention"/>
    <w:basedOn w:val="a0"/>
    <w:uiPriority w:val="99"/>
    <w:semiHidden/>
    <w:unhideWhenUsed/>
    <w:rsid w:val="00946AF2"/>
    <w:rPr>
      <w:color w:val="605E5C"/>
      <w:shd w:val="clear" w:color="auto" w:fill="E1DFDD"/>
    </w:rPr>
  </w:style>
  <w:style w:type="paragraph" w:styleId="ac">
    <w:name w:val="header"/>
    <w:basedOn w:val="a"/>
    <w:link w:val="Char3"/>
    <w:uiPriority w:val="99"/>
    <w:unhideWhenUsed/>
    <w:rsid w:val="00CC63AA"/>
    <w:pPr>
      <w:tabs>
        <w:tab w:val="center" w:pos="4513"/>
        <w:tab w:val="right" w:pos="9026"/>
      </w:tabs>
      <w:snapToGrid w:val="0"/>
    </w:pPr>
  </w:style>
  <w:style w:type="character" w:customStyle="1" w:styleId="Char3">
    <w:name w:val="머리글 Char"/>
    <w:basedOn w:val="a0"/>
    <w:link w:val="ac"/>
    <w:uiPriority w:val="99"/>
    <w:rsid w:val="00CC63AA"/>
  </w:style>
  <w:style w:type="paragraph" w:styleId="ad">
    <w:name w:val="footer"/>
    <w:basedOn w:val="a"/>
    <w:link w:val="Char4"/>
    <w:uiPriority w:val="99"/>
    <w:unhideWhenUsed/>
    <w:rsid w:val="00CC63AA"/>
    <w:pPr>
      <w:tabs>
        <w:tab w:val="center" w:pos="4513"/>
        <w:tab w:val="right" w:pos="9026"/>
      </w:tabs>
      <w:snapToGrid w:val="0"/>
    </w:pPr>
  </w:style>
  <w:style w:type="character" w:customStyle="1" w:styleId="Char4">
    <w:name w:val="바닥글 Char"/>
    <w:basedOn w:val="a0"/>
    <w:link w:val="ad"/>
    <w:uiPriority w:val="99"/>
    <w:rsid w:val="00CC63AA"/>
  </w:style>
  <w:style w:type="table" w:styleId="ae">
    <w:name w:val="Table Grid"/>
    <w:basedOn w:val="a1"/>
    <w:uiPriority w:val="59"/>
    <w:rsid w:val="00CC63AA"/>
    <w:pPr>
      <w:spacing w:after="0"/>
    </w:pPr>
    <w:rPr>
      <w:rFonts w:asciiTheme="minorHAnsi"/>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Char5"/>
    <w:uiPriority w:val="99"/>
    <w:semiHidden/>
    <w:unhideWhenUsed/>
    <w:rsid w:val="004F486A"/>
  </w:style>
  <w:style w:type="character" w:customStyle="1" w:styleId="Char5">
    <w:name w:val="날짜 Char"/>
    <w:basedOn w:val="a0"/>
    <w:link w:val="af"/>
    <w:uiPriority w:val="99"/>
    <w:semiHidden/>
    <w:rsid w:val="004F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idia.com/en-us/products/workstations/dgx-spark/" TargetMode="External"/><Relationship Id="rId3" Type="http://schemas.openxmlformats.org/officeDocument/2006/relationships/webSettings" Target="webSettings.xml"/><Relationship Id="rId7" Type="http://schemas.openxmlformats.org/officeDocument/2006/relationships/hyperlink" Target="https://www.skhynix.com/eng/main.d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583</Words>
  <Characters>3329</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 라희</dc:creator>
  <cp:keywords/>
  <dc:description/>
  <cp:lastModifiedBy>김 라희</cp:lastModifiedBy>
  <cp:revision>3</cp:revision>
  <dcterms:created xsi:type="dcterms:W3CDTF">2026-06-08T06:32:00Z</dcterms:created>
  <dcterms:modified xsi:type="dcterms:W3CDTF">2026-06-08T06:33:00Z</dcterms:modified>
</cp:coreProperties>
</file>